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4485" w:rsidRPr="00D7336A" w:rsidRDefault="00F64485" w:rsidP="006E478E">
      <w:pPr>
        <w:tabs>
          <w:tab w:val="left" w:pos="6840"/>
        </w:tabs>
        <w:spacing w:after="0" w:line="360" w:lineRule="auto"/>
        <w:outlineLvl w:val="5"/>
        <w:rPr>
          <w:rFonts w:ascii="Arial" w:hAnsi="Arial" w:cs="Arial"/>
          <w:color w:val="4BACC6" w:themeColor="accent5"/>
          <w:sz w:val="24"/>
          <w:szCs w:val="24"/>
        </w:rPr>
      </w:pPr>
      <w:bookmarkStart w:id="0" w:name="_GoBack"/>
      <w:bookmarkEnd w:id="0"/>
    </w:p>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002BD3">
        <w:rPr>
          <w:rFonts w:ascii="Arial" w:hAnsi="Arial" w:cs="Arial"/>
          <w:color w:val="4BACC6" w:themeColor="accent5"/>
          <w:sz w:val="24"/>
          <w:szCs w:val="24"/>
        </w:rPr>
        <w:t>diez de enero</w:t>
      </w:r>
      <w:r w:rsidR="00E94C22" w:rsidRPr="00D7336A">
        <w:rPr>
          <w:rFonts w:ascii="Arial" w:hAnsi="Arial" w:cs="Arial"/>
          <w:color w:val="4BACC6" w:themeColor="accent5"/>
          <w:sz w:val="24"/>
          <w:szCs w:val="24"/>
        </w:rPr>
        <w:t xml:space="preserve"> d</w:t>
      </w:r>
      <w:r w:rsidR="00B4587C" w:rsidRPr="00D7336A">
        <w:rPr>
          <w:rFonts w:ascii="Arial" w:hAnsi="Arial" w:cs="Arial"/>
          <w:color w:val="4BACC6" w:themeColor="accent5"/>
          <w:sz w:val="24"/>
          <w:szCs w:val="24"/>
        </w:rPr>
        <w:t>e dos mil diec</w:t>
      </w:r>
      <w:r w:rsidR="00002BD3">
        <w:rPr>
          <w:rFonts w:ascii="Arial" w:hAnsi="Arial" w:cs="Arial"/>
          <w:color w:val="4BACC6" w:themeColor="accent5"/>
          <w:sz w:val="24"/>
          <w:szCs w:val="24"/>
        </w:rPr>
        <w:t>iocho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AC1F24" w:rsidRPr="00D7336A"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D7336A" w:rsidRDefault="0038176B" w:rsidP="000B7F7D">
      <w:pPr>
        <w:spacing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2D371A" w:rsidRPr="00D7336A" w:rsidRDefault="001A14C5" w:rsidP="000B7F7D">
      <w:pPr>
        <w:spacing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002BD3" w:rsidRPr="007068D4" w:rsidRDefault="00002BD3" w:rsidP="00002BD3">
      <w:pPr>
        <w:spacing w:after="0" w:line="240" w:lineRule="auto"/>
        <w:jc w:val="both"/>
        <w:rPr>
          <w:rFonts w:ascii="Arial" w:hAnsi="Arial" w:cs="Arial"/>
          <w:b/>
          <w:i/>
          <w:color w:val="4BACC6" w:themeColor="accent5"/>
          <w:sz w:val="20"/>
          <w:szCs w:val="20"/>
        </w:rPr>
      </w:pPr>
      <w:r w:rsidRPr="007068D4">
        <w:rPr>
          <w:rFonts w:ascii="Arial" w:hAnsi="Arial" w:cs="Arial"/>
          <w:i/>
          <w:color w:val="4BACC6" w:themeColor="accent5"/>
          <w:sz w:val="20"/>
          <w:szCs w:val="20"/>
        </w:rPr>
        <w:t xml:space="preserve">6.7 </w:t>
      </w:r>
      <w:r w:rsidRPr="007068D4">
        <w:rPr>
          <w:rFonts w:ascii="Arial" w:hAnsi="Arial" w:cs="Arial"/>
          <w:b/>
          <w:i/>
          <w:color w:val="4BACC6" w:themeColor="accent5"/>
          <w:sz w:val="20"/>
          <w:szCs w:val="20"/>
        </w:rPr>
        <w:t>Efectos de esta resolución.</w:t>
      </w:r>
    </w:p>
    <w:p w:rsidR="00002BD3" w:rsidRPr="007068D4" w:rsidRDefault="00002BD3" w:rsidP="00002BD3">
      <w:pPr>
        <w:spacing w:after="0" w:line="240" w:lineRule="auto"/>
        <w:jc w:val="both"/>
        <w:rPr>
          <w:rFonts w:ascii="Arial" w:hAnsi="Arial" w:cs="Arial"/>
          <w:b/>
          <w:i/>
          <w:color w:val="4BACC6" w:themeColor="accent5"/>
          <w:sz w:val="20"/>
          <w:szCs w:val="20"/>
        </w:rPr>
      </w:pPr>
    </w:p>
    <w:p w:rsidR="00002BD3" w:rsidRPr="007068D4" w:rsidRDefault="00002BD3" w:rsidP="00002BD3">
      <w:pPr>
        <w:spacing w:after="0" w:line="240" w:lineRule="auto"/>
        <w:jc w:val="both"/>
        <w:rPr>
          <w:rFonts w:ascii="Arial" w:hAnsi="Arial" w:cs="Arial"/>
          <w:i/>
          <w:color w:val="4BACC6" w:themeColor="accent5"/>
          <w:sz w:val="20"/>
          <w:szCs w:val="20"/>
        </w:rPr>
      </w:pPr>
      <w:r w:rsidRPr="007068D4">
        <w:rPr>
          <w:rFonts w:ascii="Arial" w:hAnsi="Arial" w:cs="Arial"/>
          <w:b/>
          <w:i/>
          <w:color w:val="4BACC6" w:themeColor="accent5"/>
          <w:sz w:val="20"/>
          <w:szCs w:val="20"/>
        </w:rPr>
        <w:t xml:space="preserve"> </w:t>
      </w:r>
      <w:r w:rsidRPr="007068D4">
        <w:rPr>
          <w:rFonts w:ascii="Arial" w:hAnsi="Arial" w:cs="Arial"/>
          <w:i/>
          <w:color w:val="4BACC6" w:themeColor="accent5"/>
          <w:sz w:val="20"/>
          <w:szCs w:val="20"/>
        </w:rPr>
        <w:t xml:space="preserve">Por las consideraciones expuestas, esta Comisión Estatal de Garantía de Acceso a la Información Pública de conformidad con el artículo 75, fracción III de la Ley de Transparencia y Acceso a la Información Pública del Estado </w:t>
      </w:r>
      <w:proofErr w:type="gramStart"/>
      <w:r w:rsidRPr="007068D4">
        <w:rPr>
          <w:rFonts w:ascii="Arial" w:hAnsi="Arial" w:cs="Arial"/>
          <w:b/>
          <w:i/>
          <w:color w:val="4BACC6" w:themeColor="accent5"/>
          <w:sz w:val="20"/>
          <w:szCs w:val="20"/>
        </w:rPr>
        <w:t xml:space="preserve">MODIFICA  </w:t>
      </w:r>
      <w:r w:rsidRPr="007068D4">
        <w:rPr>
          <w:rFonts w:ascii="Arial" w:hAnsi="Arial" w:cs="Arial"/>
          <w:i/>
          <w:color w:val="4BACC6" w:themeColor="accent5"/>
          <w:sz w:val="20"/>
          <w:szCs w:val="20"/>
        </w:rPr>
        <w:t>la</w:t>
      </w:r>
      <w:proofErr w:type="gramEnd"/>
      <w:r w:rsidRPr="007068D4">
        <w:rPr>
          <w:rFonts w:ascii="Arial" w:hAnsi="Arial" w:cs="Arial"/>
          <w:i/>
          <w:color w:val="4BACC6" w:themeColor="accent5"/>
          <w:sz w:val="20"/>
          <w:szCs w:val="20"/>
        </w:rPr>
        <w:t xml:space="preserve"> respuesta proporcionada por el ente obligado y lo conmina para que:</w:t>
      </w:r>
    </w:p>
    <w:p w:rsidR="00002BD3" w:rsidRPr="007068D4" w:rsidRDefault="00002BD3" w:rsidP="00002BD3">
      <w:pPr>
        <w:spacing w:after="0" w:line="240" w:lineRule="auto"/>
        <w:jc w:val="both"/>
        <w:rPr>
          <w:rFonts w:ascii="Arial" w:hAnsi="Arial" w:cs="Arial"/>
          <w:i/>
          <w:color w:val="4BACC6" w:themeColor="accent5"/>
          <w:sz w:val="20"/>
          <w:szCs w:val="20"/>
        </w:rPr>
      </w:pPr>
    </w:p>
    <w:p w:rsidR="00002BD3" w:rsidRPr="007068D4" w:rsidRDefault="00002BD3" w:rsidP="00002BD3">
      <w:pPr>
        <w:spacing w:after="0" w:line="240" w:lineRule="auto"/>
        <w:jc w:val="both"/>
        <w:rPr>
          <w:rFonts w:ascii="Arial" w:hAnsi="Arial" w:cs="Arial"/>
          <w:i/>
          <w:color w:val="4BACC6" w:themeColor="accent5"/>
          <w:sz w:val="20"/>
          <w:szCs w:val="20"/>
        </w:rPr>
      </w:pPr>
      <w:r w:rsidRPr="007068D4">
        <w:rPr>
          <w:rFonts w:ascii="Arial" w:hAnsi="Arial" w:cs="Arial"/>
          <w:b/>
          <w:i/>
          <w:color w:val="4BACC6" w:themeColor="accent5"/>
          <w:sz w:val="20"/>
          <w:szCs w:val="20"/>
        </w:rPr>
        <w:t xml:space="preserve">6.7.1 </w:t>
      </w:r>
      <w:r w:rsidRPr="007068D4">
        <w:rPr>
          <w:rFonts w:ascii="Arial" w:hAnsi="Arial" w:cs="Arial"/>
          <w:i/>
          <w:color w:val="4BACC6" w:themeColor="accent5"/>
          <w:sz w:val="20"/>
          <w:szCs w:val="20"/>
        </w:rPr>
        <w:t xml:space="preserve">Ponga a disposición del recurrente copia simple del documento del que se desprenda el cargo que ostenta la Lic. María de Jesús </w:t>
      </w:r>
      <w:proofErr w:type="spellStart"/>
      <w:r w:rsidRPr="007068D4">
        <w:rPr>
          <w:rFonts w:ascii="Arial" w:hAnsi="Arial" w:cs="Arial"/>
          <w:i/>
          <w:color w:val="4BACC6" w:themeColor="accent5"/>
          <w:sz w:val="20"/>
          <w:szCs w:val="20"/>
        </w:rPr>
        <w:t>Venzor</w:t>
      </w:r>
      <w:proofErr w:type="spellEnd"/>
      <w:r w:rsidRPr="007068D4">
        <w:rPr>
          <w:rFonts w:ascii="Arial" w:hAnsi="Arial" w:cs="Arial"/>
          <w:i/>
          <w:color w:val="4BACC6" w:themeColor="accent5"/>
          <w:sz w:val="20"/>
          <w:szCs w:val="20"/>
        </w:rPr>
        <w:t xml:space="preserve"> López, así como del que se desprendan sus </w:t>
      </w:r>
      <w:bookmarkStart w:id="1" w:name="_Hlk489517768"/>
      <w:r w:rsidRPr="007068D4">
        <w:rPr>
          <w:rFonts w:ascii="Arial" w:hAnsi="Arial" w:cs="Arial"/>
          <w:i/>
          <w:color w:val="4BACC6" w:themeColor="accent5"/>
          <w:sz w:val="20"/>
          <w:szCs w:val="20"/>
        </w:rPr>
        <w:t xml:space="preserve">funciones, </w:t>
      </w:r>
      <w:bookmarkStart w:id="2" w:name="_Hlk494698716"/>
      <w:r w:rsidRPr="007068D4">
        <w:rPr>
          <w:rFonts w:ascii="Arial" w:hAnsi="Arial" w:cs="Arial"/>
          <w:i/>
          <w:color w:val="4BACC6" w:themeColor="accent5"/>
          <w:sz w:val="20"/>
          <w:szCs w:val="20"/>
        </w:rPr>
        <w:t xml:space="preserve">atribuciones, responsabilidades y obligaciones </w:t>
      </w:r>
      <w:bookmarkEnd w:id="2"/>
      <w:r w:rsidRPr="007068D4">
        <w:rPr>
          <w:rFonts w:ascii="Arial" w:hAnsi="Arial" w:cs="Arial"/>
          <w:i/>
          <w:color w:val="4BACC6" w:themeColor="accent5"/>
          <w:sz w:val="20"/>
          <w:szCs w:val="20"/>
        </w:rPr>
        <w:t>como enlace de Coordinación de Preparatoria Abierta.</w:t>
      </w:r>
    </w:p>
    <w:bookmarkEnd w:id="1"/>
    <w:p w:rsidR="007B520C" w:rsidRDefault="007B520C" w:rsidP="00002BD3">
      <w:pPr>
        <w:spacing w:after="0" w:line="240" w:lineRule="auto"/>
        <w:jc w:val="both"/>
        <w:rPr>
          <w:rFonts w:ascii="Arial" w:hAnsi="Arial" w:cs="Arial"/>
          <w:color w:val="4BACC6" w:themeColor="accent5"/>
          <w:sz w:val="24"/>
          <w:szCs w:val="24"/>
        </w:rPr>
      </w:pPr>
    </w:p>
    <w:p w:rsidR="00002BD3" w:rsidRDefault="00002BD3" w:rsidP="00002BD3">
      <w:pPr>
        <w:spacing w:line="360" w:lineRule="auto"/>
        <w:jc w:val="both"/>
        <w:rPr>
          <w:rFonts w:ascii="Arial" w:hAnsi="Arial" w:cs="Arial"/>
          <w:color w:val="4BACC6" w:themeColor="accent5"/>
          <w:sz w:val="24"/>
          <w:szCs w:val="24"/>
        </w:rPr>
      </w:pPr>
      <w:r w:rsidRPr="007068D4">
        <w:rPr>
          <w:rFonts w:ascii="Arial" w:hAnsi="Arial" w:cs="Arial"/>
          <w:color w:val="4BACC6" w:themeColor="accent5"/>
          <w:sz w:val="24"/>
          <w:szCs w:val="24"/>
        </w:rPr>
        <w:t>Por otro lado, se decretó el incumplimiento a la resolución que se analiza, medularmente en el sentido siguiente:</w:t>
      </w:r>
    </w:p>
    <w:p w:rsidR="00002BD3" w:rsidRPr="00002BD3" w:rsidRDefault="00002BD3" w:rsidP="00002BD3">
      <w:pPr>
        <w:spacing w:line="360" w:lineRule="auto"/>
        <w:jc w:val="both"/>
        <w:rPr>
          <w:rFonts w:ascii="Arial" w:hAnsi="Arial" w:cs="Arial"/>
          <w:color w:val="4BACC6" w:themeColor="accent5"/>
          <w:sz w:val="24"/>
          <w:szCs w:val="24"/>
        </w:rPr>
      </w:pPr>
      <w:r>
        <w:rPr>
          <w:rFonts w:ascii="Arial" w:hAnsi="Arial" w:cs="Arial"/>
          <w:i/>
          <w:color w:val="4BACC6" w:themeColor="accent5"/>
          <w:sz w:val="20"/>
          <w:szCs w:val="20"/>
          <w:lang w:val="es-ES"/>
        </w:rPr>
        <w:t>…</w:t>
      </w:r>
      <w:r w:rsidRPr="00002BD3">
        <w:rPr>
          <w:rFonts w:ascii="Arial" w:hAnsi="Arial" w:cs="Arial"/>
          <w:i/>
          <w:color w:val="4BACC6" w:themeColor="accent5"/>
          <w:sz w:val="20"/>
          <w:szCs w:val="20"/>
          <w:lang w:val="es-ES"/>
        </w:rPr>
        <w:t xml:space="preserve">una vez analizado el documento que fue remitido a esta Comisión a través del oficio </w:t>
      </w:r>
      <w:r w:rsidRPr="00002BD3">
        <w:rPr>
          <w:rFonts w:ascii="Arial" w:hAnsi="Arial" w:cs="Arial"/>
          <w:i/>
          <w:color w:val="4BACC6" w:themeColor="accent5"/>
          <w:sz w:val="20"/>
          <w:szCs w:val="20"/>
        </w:rPr>
        <w:t xml:space="preserve">UT-1275/2017 </w:t>
      </w:r>
      <w:r w:rsidRPr="00002BD3">
        <w:rPr>
          <w:rFonts w:ascii="Arial" w:hAnsi="Arial" w:cs="Arial"/>
          <w:i/>
          <w:color w:val="4BACC6" w:themeColor="accent5"/>
          <w:sz w:val="20"/>
          <w:szCs w:val="20"/>
          <w:lang w:val="es-ES"/>
        </w:rPr>
        <w:t xml:space="preserve">y que se trata del que fue notificado al recurrente, toda vez que la omisión aconteció de las constancias que fueron remitidas a esta Comisión, mismo que es identificado como “perfil de puesto”, que consta visible a fojas 129 a 130 de autos, se tiene que es carente de congruencia, es decir, </w:t>
      </w:r>
      <w:r w:rsidRPr="00002BD3">
        <w:rPr>
          <w:rFonts w:ascii="Arial" w:hAnsi="Arial" w:cs="Arial"/>
          <w:i/>
          <w:color w:val="4BACC6" w:themeColor="accent5"/>
          <w:sz w:val="20"/>
          <w:szCs w:val="20"/>
        </w:rPr>
        <w:t xml:space="preserve">que exista concordancia entre el requerimiento formulado por el particular y la respuesta proporcionada por el sujeto obligado, toda vez que del propio documento se desprende que consta de 16 páginas y solo se remiten las páginas 5 y 6 por lo que se trata de un documento incompleto, ahora si bien es cierto, que del documento analizado se desprenden funciones </w:t>
      </w:r>
      <w:r w:rsidRPr="00002BD3">
        <w:rPr>
          <w:rFonts w:ascii="Arial" w:hAnsi="Arial" w:cs="Arial"/>
          <w:i/>
          <w:color w:val="4BACC6" w:themeColor="accent5"/>
          <w:sz w:val="20"/>
          <w:szCs w:val="20"/>
          <w:lang w:val="es-ES"/>
        </w:rPr>
        <w:t>,</w:t>
      </w:r>
      <w:r w:rsidRPr="00002BD3">
        <w:rPr>
          <w:rFonts w:ascii="Arial" w:hAnsi="Arial" w:cs="Arial"/>
          <w:i/>
          <w:color w:val="4BACC6" w:themeColor="accent5"/>
          <w:sz w:val="20"/>
          <w:szCs w:val="20"/>
        </w:rPr>
        <w:t xml:space="preserve">atribuciones, responsabilidades y obligaciones, no menos cierto es que las mismas corresponden al puesto de “coordinador de operación”, adscrito a la coordinación de preparatoria abierta, sin embargo, como se desprende de autos, la Lic. María de Jesús </w:t>
      </w:r>
      <w:proofErr w:type="spellStart"/>
      <w:r w:rsidRPr="00002BD3">
        <w:rPr>
          <w:rFonts w:ascii="Arial" w:hAnsi="Arial" w:cs="Arial"/>
          <w:i/>
          <w:color w:val="4BACC6" w:themeColor="accent5"/>
          <w:sz w:val="20"/>
          <w:szCs w:val="20"/>
        </w:rPr>
        <w:t>Venzor</w:t>
      </w:r>
      <w:proofErr w:type="spellEnd"/>
      <w:r w:rsidRPr="00002BD3">
        <w:rPr>
          <w:rFonts w:ascii="Arial" w:hAnsi="Arial" w:cs="Arial"/>
          <w:i/>
          <w:color w:val="4BACC6" w:themeColor="accent5"/>
          <w:sz w:val="20"/>
          <w:szCs w:val="20"/>
        </w:rPr>
        <w:t xml:space="preserve"> López es Auxiliar Administrativo de la Coordinación de Preparatoria Abierta como enlace operativo ante la Dirección General de Bachillerato de la Secretaría de Educación Pública, por otro lado del contrato que fue remitido por el sujeto obligado se advierte que la servidor público en cuestión se encuentra contratada como auxiliar operativo, por lo que si remite un documento incompleto sobre un perfil de puesto que no tiene correspondencia con lo que consta en autos, resulta insuficiente para acreditar el cumplimiento a la resolución aquí dictada, </w:t>
      </w:r>
      <w:r w:rsidRPr="00002BD3">
        <w:rPr>
          <w:rFonts w:ascii="Arial" w:hAnsi="Arial" w:cs="Arial"/>
          <w:i/>
          <w:color w:val="4BACC6" w:themeColor="accent5"/>
          <w:sz w:val="20"/>
          <w:szCs w:val="20"/>
          <w:u w:val="single"/>
        </w:rPr>
        <w:t xml:space="preserve">además de que el sujeto obligado no funda, ni motiva porque el perfil de “coordinador de operación” es el que es </w:t>
      </w:r>
      <w:r w:rsidRPr="00002BD3">
        <w:rPr>
          <w:rFonts w:ascii="Arial" w:hAnsi="Arial" w:cs="Arial"/>
          <w:i/>
          <w:color w:val="4BACC6" w:themeColor="accent5"/>
          <w:sz w:val="20"/>
          <w:szCs w:val="20"/>
          <w:u w:val="single"/>
        </w:rPr>
        <w:lastRenderedPageBreak/>
        <w:t>aplicable al cargo que desempeña la enlace operativo de la Coordinación de Preparatoria Abierta, y con ello dé certeza de las actividades, funciones, y obligaciones de la servidora público, ya que está visto que hay diversas denominaciones del cargo del que se solicitó información</w:t>
      </w:r>
      <w:r>
        <w:rPr>
          <w:rFonts w:ascii="Arial" w:hAnsi="Arial" w:cs="Arial"/>
          <w:i/>
          <w:color w:val="4BACC6" w:themeColor="accent5"/>
          <w:sz w:val="20"/>
          <w:szCs w:val="20"/>
          <w:u w:val="single"/>
        </w:rPr>
        <w:t>…</w:t>
      </w:r>
    </w:p>
    <w:p w:rsidR="00002BD3" w:rsidRDefault="00002BD3" w:rsidP="00002BD3">
      <w:pPr>
        <w:spacing w:after="0" w:line="240" w:lineRule="auto"/>
        <w:jc w:val="both"/>
        <w:rPr>
          <w:rFonts w:ascii="Arial" w:eastAsia="Times New Roman" w:hAnsi="Arial" w:cs="Arial"/>
          <w:i/>
          <w:color w:val="4BACC6" w:themeColor="accent5"/>
          <w:sz w:val="20"/>
          <w:szCs w:val="20"/>
          <w:lang w:eastAsia="es-MX"/>
        </w:rPr>
      </w:pPr>
    </w:p>
    <w:p w:rsidR="007B520C" w:rsidRPr="007B520C" w:rsidRDefault="007B520C" w:rsidP="007B520C">
      <w:pPr>
        <w:spacing w:after="0" w:line="240" w:lineRule="auto"/>
        <w:ind w:firstLine="1"/>
        <w:jc w:val="both"/>
        <w:rPr>
          <w:rFonts w:ascii="Arial" w:eastAsia="Times New Roman" w:hAnsi="Arial" w:cs="Arial"/>
          <w:i/>
          <w:color w:val="4BACC6" w:themeColor="accent5"/>
          <w:sz w:val="20"/>
          <w:szCs w:val="20"/>
          <w:lang w:eastAsia="es-MX"/>
        </w:rPr>
      </w:pPr>
    </w:p>
    <w:p w:rsidR="00352A7B" w:rsidRDefault="007A68AD" w:rsidP="00352A7B">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Por lo anterior, el</w:t>
      </w:r>
      <w:r w:rsidR="001F0337" w:rsidRPr="00D7336A">
        <w:rPr>
          <w:rFonts w:ascii="Arial" w:hAnsi="Arial" w:cs="Arial"/>
          <w:color w:val="4BACC6" w:themeColor="accent5"/>
          <w:sz w:val="24"/>
          <w:szCs w:val="24"/>
        </w:rPr>
        <w:t xml:space="preserve"> sujeto</w:t>
      </w:r>
      <w:r w:rsidR="00DF5E66" w:rsidRPr="00D7336A">
        <w:rPr>
          <w:rFonts w:ascii="Arial" w:hAnsi="Arial" w:cs="Arial"/>
          <w:color w:val="4BACC6" w:themeColor="accent5"/>
          <w:sz w:val="24"/>
          <w:szCs w:val="24"/>
        </w:rPr>
        <w:t xml:space="preserve"> obl</w:t>
      </w:r>
      <w:r w:rsidR="00763E45" w:rsidRPr="00D7336A">
        <w:rPr>
          <w:rFonts w:ascii="Arial" w:hAnsi="Arial" w:cs="Arial"/>
          <w:color w:val="4BACC6" w:themeColor="accent5"/>
          <w:sz w:val="24"/>
          <w:szCs w:val="24"/>
        </w:rPr>
        <w:t xml:space="preserve">igado a través </w:t>
      </w:r>
      <w:r w:rsidR="007B520C">
        <w:rPr>
          <w:rFonts w:ascii="Arial" w:hAnsi="Arial" w:cs="Arial"/>
          <w:color w:val="4BACC6" w:themeColor="accent5"/>
          <w:sz w:val="24"/>
          <w:szCs w:val="24"/>
        </w:rPr>
        <w:t>del</w:t>
      </w:r>
      <w:r w:rsidR="00381A32" w:rsidRPr="00D7336A">
        <w:rPr>
          <w:rFonts w:ascii="Arial" w:hAnsi="Arial" w:cs="Arial"/>
          <w:color w:val="4BACC6" w:themeColor="accent5"/>
          <w:sz w:val="24"/>
          <w:szCs w:val="24"/>
        </w:rPr>
        <w:t xml:space="preserve"> oficio</w:t>
      </w:r>
      <w:r w:rsidR="00002BD3">
        <w:rPr>
          <w:rFonts w:ascii="Arial" w:hAnsi="Arial" w:cs="Arial"/>
          <w:color w:val="4BACC6" w:themeColor="accent5"/>
          <w:sz w:val="24"/>
          <w:szCs w:val="24"/>
        </w:rPr>
        <w:t xml:space="preserve"> DEMSS-098/2017-2018, de fecha once de octubre de dos mil diecisiete</w:t>
      </w:r>
      <w:r w:rsidR="001A3205" w:rsidRPr="00D7336A">
        <w:rPr>
          <w:rFonts w:ascii="Arial" w:hAnsi="Arial" w:cs="Arial"/>
          <w:color w:val="4BACC6" w:themeColor="accent5"/>
          <w:sz w:val="24"/>
          <w:szCs w:val="24"/>
        </w:rPr>
        <w:t>,</w:t>
      </w:r>
      <w:r w:rsidR="00002BD3">
        <w:rPr>
          <w:rFonts w:ascii="Arial" w:hAnsi="Arial" w:cs="Arial"/>
          <w:color w:val="4BACC6" w:themeColor="accent5"/>
          <w:sz w:val="24"/>
          <w:szCs w:val="24"/>
        </w:rPr>
        <w:t xml:space="preserve"> dirigido al recurrente con dos anexos, consta de la nueva respuesta al recurrente, con la que asegura se atienden los señalamientos que esta Comisión señalo para decretar el incumplimiento a la resolución, cuyo contenido es </w:t>
      </w:r>
      <w:r w:rsidR="00352A7B" w:rsidRPr="00D7336A">
        <w:rPr>
          <w:rFonts w:ascii="Arial" w:hAnsi="Arial" w:cs="Arial"/>
          <w:color w:val="4BACC6" w:themeColor="accent5"/>
          <w:sz w:val="24"/>
          <w:szCs w:val="24"/>
        </w:rPr>
        <w:t>medularmente</w:t>
      </w:r>
      <w:r w:rsidR="00002BD3">
        <w:rPr>
          <w:rFonts w:ascii="Arial" w:hAnsi="Arial" w:cs="Arial"/>
          <w:color w:val="4BACC6" w:themeColor="accent5"/>
          <w:sz w:val="24"/>
          <w:szCs w:val="24"/>
        </w:rPr>
        <w:t xml:space="preserve"> como sigue</w:t>
      </w:r>
      <w:r w:rsidR="00352A7B" w:rsidRPr="00D7336A">
        <w:rPr>
          <w:rFonts w:ascii="Arial" w:hAnsi="Arial" w:cs="Arial"/>
          <w:color w:val="4BACC6" w:themeColor="accent5"/>
          <w:sz w:val="24"/>
          <w:szCs w:val="24"/>
        </w:rPr>
        <w:t>:</w:t>
      </w:r>
    </w:p>
    <w:p w:rsidR="00D21862" w:rsidRDefault="00D21862" w:rsidP="00352A7B">
      <w:pPr>
        <w:spacing w:after="0" w:line="360" w:lineRule="auto"/>
        <w:jc w:val="both"/>
        <w:rPr>
          <w:rFonts w:ascii="Arial" w:hAnsi="Arial" w:cs="Arial"/>
          <w:i/>
          <w:color w:val="4BACC6" w:themeColor="accent5"/>
          <w:sz w:val="24"/>
          <w:szCs w:val="24"/>
        </w:rPr>
      </w:pPr>
    </w:p>
    <w:p w:rsidR="00002BD3" w:rsidRPr="00D7336A" w:rsidRDefault="003B2F60" w:rsidP="00352A7B">
      <w:pPr>
        <w:spacing w:after="0" w:line="360" w:lineRule="auto"/>
        <w:jc w:val="both"/>
        <w:rPr>
          <w:rFonts w:ascii="Arial" w:hAnsi="Arial" w:cs="Arial"/>
          <w:color w:val="4BACC6" w:themeColor="accent5"/>
          <w:sz w:val="24"/>
          <w:szCs w:val="24"/>
        </w:rPr>
      </w:pPr>
      <w:r>
        <w:rPr>
          <w:noProof/>
        </w:rPr>
        <w:drawing>
          <wp:inline distT="0" distB="0" distL="0" distR="0">
            <wp:extent cx="5431155" cy="65341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5899" cy="6539857"/>
                    </a:xfrm>
                    <a:prstGeom prst="rect">
                      <a:avLst/>
                    </a:prstGeom>
                    <a:noFill/>
                    <a:ln>
                      <a:noFill/>
                    </a:ln>
                  </pic:spPr>
                </pic:pic>
              </a:graphicData>
            </a:graphic>
          </wp:inline>
        </w:drawing>
      </w:r>
    </w:p>
    <w:p w:rsidR="003B2F60" w:rsidRDefault="003B2F60" w:rsidP="00D11CA5">
      <w:pPr>
        <w:spacing w:after="0" w:line="360" w:lineRule="auto"/>
        <w:jc w:val="both"/>
        <w:rPr>
          <w:rFonts w:ascii="Arial" w:hAnsi="Arial" w:cs="Arial"/>
          <w:color w:val="4BACC6" w:themeColor="accent5"/>
          <w:sz w:val="24"/>
          <w:szCs w:val="24"/>
        </w:rPr>
      </w:pPr>
      <w:r>
        <w:rPr>
          <w:noProof/>
        </w:rPr>
        <w:lastRenderedPageBreak/>
        <w:drawing>
          <wp:inline distT="0" distB="0" distL="0" distR="0">
            <wp:extent cx="5431790" cy="706536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1790" cy="7065361"/>
                    </a:xfrm>
                    <a:prstGeom prst="rect">
                      <a:avLst/>
                    </a:prstGeom>
                    <a:noFill/>
                    <a:ln>
                      <a:noFill/>
                    </a:ln>
                  </pic:spPr>
                </pic:pic>
              </a:graphicData>
            </a:graphic>
          </wp:inline>
        </w:drawing>
      </w:r>
    </w:p>
    <w:p w:rsidR="003B2F60" w:rsidRDefault="003B2F60" w:rsidP="00D11CA5">
      <w:pPr>
        <w:spacing w:after="0" w:line="360" w:lineRule="auto"/>
        <w:jc w:val="both"/>
        <w:rPr>
          <w:rFonts w:ascii="Arial" w:hAnsi="Arial" w:cs="Arial"/>
          <w:color w:val="4BACC6" w:themeColor="accent5"/>
          <w:sz w:val="24"/>
          <w:szCs w:val="24"/>
        </w:rPr>
      </w:pPr>
    </w:p>
    <w:p w:rsidR="002475F6" w:rsidRDefault="00352A7B" w:rsidP="00D11CA5">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En ese sentido,</w:t>
      </w:r>
      <w:r w:rsidR="006A4610" w:rsidRPr="00D7336A">
        <w:rPr>
          <w:rFonts w:ascii="Arial" w:hAnsi="Arial" w:cs="Arial"/>
          <w:color w:val="4BACC6" w:themeColor="accent5"/>
          <w:sz w:val="24"/>
          <w:szCs w:val="24"/>
        </w:rPr>
        <w:t xml:space="preserve"> </w:t>
      </w:r>
      <w:r w:rsidR="00D11CA5">
        <w:rPr>
          <w:rFonts w:ascii="Arial" w:hAnsi="Arial" w:cs="Arial"/>
          <w:color w:val="4BACC6" w:themeColor="accent5"/>
          <w:sz w:val="24"/>
          <w:szCs w:val="24"/>
        </w:rPr>
        <w:t xml:space="preserve">visibles a fojas </w:t>
      </w:r>
      <w:r w:rsidR="002475F6">
        <w:rPr>
          <w:rFonts w:ascii="Arial" w:hAnsi="Arial" w:cs="Arial"/>
          <w:color w:val="4BACC6" w:themeColor="accent5"/>
          <w:sz w:val="24"/>
          <w:szCs w:val="24"/>
        </w:rPr>
        <w:t>85</w:t>
      </w:r>
      <w:r w:rsidR="00D11CA5">
        <w:rPr>
          <w:rFonts w:ascii="Arial" w:hAnsi="Arial" w:cs="Arial"/>
          <w:color w:val="4BACC6" w:themeColor="accent5"/>
          <w:sz w:val="24"/>
          <w:szCs w:val="24"/>
        </w:rPr>
        <w:t xml:space="preserve"> a </w:t>
      </w:r>
      <w:r w:rsidR="002475F6">
        <w:rPr>
          <w:rFonts w:ascii="Arial" w:hAnsi="Arial" w:cs="Arial"/>
          <w:color w:val="4BACC6" w:themeColor="accent5"/>
          <w:sz w:val="24"/>
          <w:szCs w:val="24"/>
        </w:rPr>
        <w:t>105</w:t>
      </w:r>
      <w:r w:rsidR="00D11CA5">
        <w:rPr>
          <w:rFonts w:ascii="Arial" w:hAnsi="Arial" w:cs="Arial"/>
          <w:color w:val="4BACC6" w:themeColor="accent5"/>
          <w:sz w:val="24"/>
          <w:szCs w:val="24"/>
        </w:rPr>
        <w:t xml:space="preserve"> de autos, se encuentra la información que fuera enviada al recurrente, mismos que por economía procesal, se tienen por reproducidos como si a la letra se insertasen,</w:t>
      </w:r>
      <w:r w:rsidR="002475F6">
        <w:rPr>
          <w:rFonts w:ascii="Arial" w:hAnsi="Arial" w:cs="Arial"/>
          <w:color w:val="4BACC6" w:themeColor="accent5"/>
          <w:sz w:val="24"/>
          <w:szCs w:val="24"/>
        </w:rPr>
        <w:t xml:space="preserve"> los cuales se tratan de el contrato de la servidor público María de </w:t>
      </w:r>
      <w:proofErr w:type="spellStart"/>
      <w:r w:rsidR="002475F6">
        <w:rPr>
          <w:rFonts w:ascii="Arial" w:hAnsi="Arial" w:cs="Arial"/>
          <w:color w:val="4BACC6" w:themeColor="accent5"/>
          <w:sz w:val="24"/>
          <w:szCs w:val="24"/>
        </w:rPr>
        <w:t>Jesus</w:t>
      </w:r>
      <w:proofErr w:type="spellEnd"/>
      <w:r w:rsidR="002475F6">
        <w:rPr>
          <w:rFonts w:ascii="Arial" w:hAnsi="Arial" w:cs="Arial"/>
          <w:color w:val="4BACC6" w:themeColor="accent5"/>
          <w:sz w:val="24"/>
          <w:szCs w:val="24"/>
        </w:rPr>
        <w:t xml:space="preserve"> </w:t>
      </w:r>
      <w:proofErr w:type="spellStart"/>
      <w:r w:rsidR="002475F6">
        <w:rPr>
          <w:rFonts w:ascii="Arial" w:hAnsi="Arial" w:cs="Arial"/>
          <w:color w:val="4BACC6" w:themeColor="accent5"/>
          <w:sz w:val="24"/>
          <w:szCs w:val="24"/>
        </w:rPr>
        <w:t>Venzor</w:t>
      </w:r>
      <w:proofErr w:type="spellEnd"/>
      <w:r w:rsidR="002475F6">
        <w:rPr>
          <w:rFonts w:ascii="Arial" w:hAnsi="Arial" w:cs="Arial"/>
          <w:color w:val="4BACC6" w:themeColor="accent5"/>
          <w:sz w:val="24"/>
          <w:szCs w:val="24"/>
        </w:rPr>
        <w:t xml:space="preserve"> </w:t>
      </w:r>
      <w:proofErr w:type="spellStart"/>
      <w:r w:rsidR="002475F6">
        <w:rPr>
          <w:rFonts w:ascii="Arial" w:hAnsi="Arial" w:cs="Arial"/>
          <w:color w:val="4BACC6" w:themeColor="accent5"/>
          <w:sz w:val="24"/>
          <w:szCs w:val="24"/>
        </w:rPr>
        <w:t>Lopez</w:t>
      </w:r>
      <w:proofErr w:type="spellEnd"/>
      <w:r w:rsidR="002475F6">
        <w:rPr>
          <w:rFonts w:ascii="Arial" w:hAnsi="Arial" w:cs="Arial"/>
          <w:color w:val="4BACC6" w:themeColor="accent5"/>
          <w:sz w:val="24"/>
          <w:szCs w:val="24"/>
        </w:rPr>
        <w:t xml:space="preserve">, así como los perfil de puesto de la Coordinación de Preparatoria Abierta, documentales que son suficientes para colmar la resolución que nos ocupa, una vez que se hizo la aclaración sobre puesto, perfil y funciones que realiza la servidor público </w:t>
      </w:r>
      <w:proofErr w:type="spellStart"/>
      <w:r w:rsidR="002475F6">
        <w:rPr>
          <w:rFonts w:ascii="Arial" w:hAnsi="Arial" w:cs="Arial"/>
          <w:color w:val="4BACC6" w:themeColor="accent5"/>
          <w:sz w:val="24"/>
          <w:szCs w:val="24"/>
        </w:rPr>
        <w:t>Jesus</w:t>
      </w:r>
      <w:proofErr w:type="spellEnd"/>
      <w:r w:rsidR="002475F6">
        <w:rPr>
          <w:rFonts w:ascii="Arial" w:hAnsi="Arial" w:cs="Arial"/>
          <w:color w:val="4BACC6" w:themeColor="accent5"/>
          <w:sz w:val="24"/>
          <w:szCs w:val="24"/>
        </w:rPr>
        <w:t xml:space="preserve"> </w:t>
      </w:r>
      <w:proofErr w:type="spellStart"/>
      <w:r w:rsidR="002475F6">
        <w:rPr>
          <w:rFonts w:ascii="Arial" w:hAnsi="Arial" w:cs="Arial"/>
          <w:color w:val="4BACC6" w:themeColor="accent5"/>
          <w:sz w:val="24"/>
          <w:szCs w:val="24"/>
        </w:rPr>
        <w:t>Venzor</w:t>
      </w:r>
      <w:proofErr w:type="spellEnd"/>
      <w:r w:rsidR="002475F6">
        <w:rPr>
          <w:rFonts w:ascii="Arial" w:hAnsi="Arial" w:cs="Arial"/>
          <w:color w:val="4BACC6" w:themeColor="accent5"/>
          <w:sz w:val="24"/>
          <w:szCs w:val="24"/>
        </w:rPr>
        <w:t xml:space="preserve"> </w:t>
      </w:r>
      <w:proofErr w:type="spellStart"/>
      <w:r w:rsidR="002475F6">
        <w:rPr>
          <w:rFonts w:ascii="Arial" w:hAnsi="Arial" w:cs="Arial"/>
          <w:color w:val="4BACC6" w:themeColor="accent5"/>
          <w:sz w:val="24"/>
          <w:szCs w:val="24"/>
        </w:rPr>
        <w:t>Lopez</w:t>
      </w:r>
      <w:proofErr w:type="spellEnd"/>
      <w:r w:rsidR="002475F6">
        <w:rPr>
          <w:rFonts w:ascii="Arial" w:hAnsi="Arial" w:cs="Arial"/>
          <w:color w:val="4BACC6" w:themeColor="accent5"/>
          <w:sz w:val="24"/>
          <w:szCs w:val="24"/>
        </w:rPr>
        <w:t>.</w:t>
      </w:r>
    </w:p>
    <w:p w:rsidR="002475F6" w:rsidRDefault="002475F6" w:rsidP="00D11CA5">
      <w:pPr>
        <w:spacing w:after="0" w:line="360" w:lineRule="auto"/>
        <w:jc w:val="both"/>
        <w:rPr>
          <w:rFonts w:ascii="Arial" w:hAnsi="Arial" w:cs="Arial"/>
          <w:color w:val="4BACC6" w:themeColor="accent5"/>
          <w:sz w:val="24"/>
          <w:szCs w:val="24"/>
        </w:rPr>
      </w:pPr>
    </w:p>
    <w:p w:rsidR="002475F6" w:rsidRDefault="002475F6" w:rsidP="00D11CA5">
      <w:pPr>
        <w:spacing w:after="0" w:line="360" w:lineRule="auto"/>
        <w:jc w:val="both"/>
        <w:rPr>
          <w:rFonts w:ascii="Arial" w:hAnsi="Arial" w:cs="Arial"/>
          <w:color w:val="4BACC6" w:themeColor="accent5"/>
          <w:sz w:val="24"/>
          <w:szCs w:val="24"/>
        </w:rPr>
      </w:pPr>
    </w:p>
    <w:p w:rsidR="006A4610" w:rsidRPr="00D7336A" w:rsidRDefault="006A4610" w:rsidP="00352A7B">
      <w:pPr>
        <w:spacing w:after="0" w:line="360" w:lineRule="auto"/>
        <w:jc w:val="both"/>
        <w:rPr>
          <w:rFonts w:ascii="Arial" w:hAnsi="Arial" w:cs="Arial"/>
          <w:color w:val="4BACC6" w:themeColor="accent5"/>
          <w:sz w:val="24"/>
          <w:szCs w:val="24"/>
        </w:rPr>
      </w:pPr>
    </w:p>
    <w:p w:rsidR="00FE5A4C" w:rsidRPr="00D7336A" w:rsidRDefault="00D21862" w:rsidP="00FE5A4C">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w:t>
      </w:r>
      <w:r w:rsidR="002475F6">
        <w:rPr>
          <w:rFonts w:ascii="Arial" w:hAnsi="Arial" w:cs="Arial"/>
          <w:color w:val="4BACC6" w:themeColor="accent5"/>
          <w:sz w:val="24"/>
          <w:szCs w:val="24"/>
        </w:rPr>
        <w:t xml:space="preserve"> adjuntó l</w:t>
      </w:r>
      <w:r w:rsidR="000B7F7D" w:rsidRPr="00D7336A">
        <w:rPr>
          <w:rFonts w:ascii="Arial" w:hAnsi="Arial" w:cs="Arial"/>
          <w:color w:val="4BACC6" w:themeColor="accent5"/>
          <w:sz w:val="24"/>
          <w:szCs w:val="24"/>
        </w:rPr>
        <w:t xml:space="preserve">a constancia </w:t>
      </w:r>
      <w:r w:rsidR="00FE5A4C" w:rsidRPr="00D7336A">
        <w:rPr>
          <w:rFonts w:ascii="Arial" w:hAnsi="Arial" w:cs="Arial"/>
          <w:color w:val="4BACC6" w:themeColor="accent5"/>
          <w:sz w:val="24"/>
          <w:szCs w:val="24"/>
        </w:rPr>
        <w:t xml:space="preserve">que acredita </w:t>
      </w:r>
      <w:r w:rsidR="002475F6">
        <w:rPr>
          <w:rFonts w:ascii="Arial" w:hAnsi="Arial" w:cs="Arial"/>
          <w:color w:val="4BACC6" w:themeColor="accent5"/>
          <w:sz w:val="24"/>
          <w:szCs w:val="24"/>
        </w:rPr>
        <w:t>la notificación al recurrente, la cual es visible a foja 82 de autos, sin que pase desapercibido que en el margen inferior derecho aparece la firma de recibido del recurrente.</w:t>
      </w:r>
    </w:p>
    <w:p w:rsidR="001E317B" w:rsidRPr="00D7336A" w:rsidRDefault="001E317B" w:rsidP="000B7F7D">
      <w:pPr>
        <w:spacing w:after="0" w:line="360" w:lineRule="auto"/>
        <w:jc w:val="both"/>
        <w:rPr>
          <w:rFonts w:ascii="Arial" w:hAnsi="Arial" w:cs="Arial"/>
          <w:color w:val="4BACC6" w:themeColor="accent5"/>
          <w:sz w:val="24"/>
          <w:szCs w:val="24"/>
        </w:rPr>
      </w:pPr>
    </w:p>
    <w:p w:rsidR="00184E79" w:rsidRPr="00D7336A" w:rsidRDefault="000B7F7D" w:rsidP="000B7F7D">
      <w:pPr>
        <w:spacing w:after="0" w:line="360" w:lineRule="auto"/>
        <w:jc w:val="both"/>
        <w:rPr>
          <w:rFonts w:ascii="Arial" w:hAnsi="Arial" w:cs="Arial"/>
          <w:i/>
          <w:color w:val="4BACC6" w:themeColor="accent5"/>
          <w:sz w:val="24"/>
          <w:szCs w:val="24"/>
        </w:rPr>
      </w:pPr>
      <w:r w:rsidRPr="00D7336A">
        <w:rPr>
          <w:rFonts w:ascii="Arial" w:hAnsi="Arial" w:cs="Arial"/>
          <w:color w:val="4BACC6" w:themeColor="accent5"/>
          <w:sz w:val="24"/>
          <w:szCs w:val="24"/>
        </w:rPr>
        <w:t>D</w:t>
      </w:r>
      <w:r w:rsidR="00184E79" w:rsidRPr="00D7336A">
        <w:rPr>
          <w:rFonts w:ascii="Arial" w:hAnsi="Arial" w:cs="Arial"/>
          <w:color w:val="4BACC6" w:themeColor="accent5"/>
          <w:sz w:val="24"/>
          <w:szCs w:val="24"/>
        </w:rPr>
        <w:t xml:space="preserve">e tal suerte, </w:t>
      </w:r>
      <w:r w:rsidR="00D21862" w:rsidRPr="00D7336A">
        <w:rPr>
          <w:rFonts w:ascii="Arial" w:hAnsi="Arial" w:cs="Arial"/>
          <w:color w:val="4BACC6" w:themeColor="accent5"/>
          <w:sz w:val="24"/>
          <w:szCs w:val="24"/>
        </w:rPr>
        <w:t>se</w:t>
      </w:r>
      <w:r w:rsidR="001E317B" w:rsidRPr="00D7336A">
        <w:rPr>
          <w:rFonts w:ascii="Arial" w:hAnsi="Arial"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ascii="Arial" w:hAnsi="Arial" w:cs="Arial"/>
          <w:color w:val="4BACC6" w:themeColor="accent5"/>
          <w:sz w:val="24"/>
          <w:szCs w:val="24"/>
        </w:rPr>
        <w:t xml:space="preserve"> </w:t>
      </w:r>
      <w:r w:rsidR="001E317B" w:rsidRPr="00D7336A">
        <w:rPr>
          <w:rFonts w:ascii="Arial" w:hAnsi="Arial" w:cs="Arial"/>
          <w:color w:val="4BACC6" w:themeColor="accent5"/>
          <w:sz w:val="24"/>
          <w:szCs w:val="24"/>
        </w:rPr>
        <w:t xml:space="preserve">y </w:t>
      </w:r>
      <w:r w:rsidR="00695310" w:rsidRPr="00D7336A">
        <w:rPr>
          <w:rFonts w:ascii="Arial" w:hAnsi="Arial" w:cs="Arial"/>
          <w:color w:val="4BACC6" w:themeColor="accent5"/>
          <w:sz w:val="24"/>
          <w:szCs w:val="24"/>
        </w:rPr>
        <w:t>p</w:t>
      </w:r>
      <w:r w:rsidR="00426890">
        <w:rPr>
          <w:rFonts w:ascii="Arial" w:hAnsi="Arial" w:cs="Arial"/>
          <w:color w:val="4BACC6" w:themeColor="accent5"/>
          <w:sz w:val="24"/>
          <w:szCs w:val="24"/>
        </w:rPr>
        <w:t>or tanto se encuentra cumplida</w:t>
      </w:r>
      <w:r w:rsidR="002475F6">
        <w:rPr>
          <w:rFonts w:ascii="Arial" w:hAnsi="Arial" w:cs="Arial"/>
          <w:color w:val="4BACC6" w:themeColor="accent5"/>
          <w:sz w:val="24"/>
          <w:szCs w:val="24"/>
        </w:rPr>
        <w:t>.</w:t>
      </w:r>
    </w:p>
    <w:p w:rsidR="001E317B" w:rsidRPr="00D7336A" w:rsidRDefault="001E317B" w:rsidP="00184E79">
      <w:pPr>
        <w:spacing w:after="0" w:line="360" w:lineRule="auto"/>
        <w:ind w:firstLine="709"/>
        <w:jc w:val="both"/>
        <w:rPr>
          <w:rFonts w:ascii="Arial" w:hAnsi="Arial" w:cs="Arial"/>
          <w:color w:val="4BACC6" w:themeColor="accent5"/>
          <w:sz w:val="24"/>
          <w:szCs w:val="24"/>
        </w:rPr>
      </w:pPr>
    </w:p>
    <w:p w:rsidR="002475F6" w:rsidRDefault="008024C9" w:rsidP="00453A8D">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fecha </w:t>
      </w:r>
      <w:r w:rsidR="002475F6">
        <w:rPr>
          <w:rFonts w:ascii="Arial" w:hAnsi="Arial" w:cs="Arial"/>
          <w:color w:val="4BACC6" w:themeColor="accent5"/>
          <w:sz w:val="24"/>
          <w:szCs w:val="24"/>
        </w:rPr>
        <w:t>diecisiete</w:t>
      </w:r>
      <w:r w:rsidR="000B7F7D" w:rsidRPr="00D7336A">
        <w:rPr>
          <w:rFonts w:ascii="Arial" w:hAnsi="Arial" w:cs="Arial"/>
          <w:color w:val="4BACC6" w:themeColor="accent5"/>
          <w:sz w:val="24"/>
          <w:szCs w:val="24"/>
        </w:rPr>
        <w:t xml:space="preserve"> de </w:t>
      </w:r>
      <w:r w:rsidR="002475F6">
        <w:rPr>
          <w:rFonts w:ascii="Arial" w:hAnsi="Arial" w:cs="Arial"/>
          <w:color w:val="4BACC6" w:themeColor="accent5"/>
          <w:sz w:val="24"/>
          <w:szCs w:val="24"/>
        </w:rPr>
        <w:t>octubre</w:t>
      </w:r>
      <w:r w:rsidR="000B7F7D" w:rsidRPr="00D7336A">
        <w:rPr>
          <w:rFonts w:ascii="Arial" w:hAnsi="Arial" w:cs="Arial"/>
          <w:color w:val="4BACC6" w:themeColor="accent5"/>
          <w:sz w:val="24"/>
          <w:szCs w:val="24"/>
        </w:rPr>
        <w:t xml:space="preserve"> </w:t>
      </w:r>
      <w:r w:rsidRPr="00D7336A">
        <w:rPr>
          <w:rFonts w:ascii="Arial" w:hAnsi="Arial" w:cs="Arial"/>
          <w:color w:val="4BACC6" w:themeColor="accent5"/>
          <w:sz w:val="24"/>
          <w:szCs w:val="24"/>
        </w:rPr>
        <w:t>de dos mil diecisiete, dio vista a la parte recurrente con las constancias remitidas por el sujeto obligado, para el efecto de que realizara las manifestaciones que a sus intereses conviniera, sin que hubiera realizado manifestación alguna al respecto</w:t>
      </w:r>
      <w:r w:rsidR="002475F6">
        <w:rPr>
          <w:rFonts w:ascii="Arial" w:hAnsi="Arial" w:cs="Arial"/>
          <w:color w:val="4BACC6" w:themeColor="accent5"/>
          <w:sz w:val="24"/>
          <w:szCs w:val="24"/>
        </w:rPr>
        <w:t>.</w:t>
      </w:r>
    </w:p>
    <w:p w:rsidR="002475F6" w:rsidRDefault="002475F6" w:rsidP="00453A8D">
      <w:pPr>
        <w:spacing w:after="0" w:line="360" w:lineRule="auto"/>
        <w:jc w:val="both"/>
        <w:rPr>
          <w:rFonts w:ascii="Arial" w:hAnsi="Arial" w:cs="Arial"/>
          <w:color w:val="4BACC6" w:themeColor="accent5"/>
          <w:sz w:val="24"/>
          <w:szCs w:val="24"/>
        </w:rPr>
      </w:pPr>
    </w:p>
    <w:p w:rsidR="008024C9" w:rsidRPr="00D7336A" w:rsidRDefault="008024C9" w:rsidP="00453A8D">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0B7F7D">
      <w:pPr>
        <w:spacing w:after="0" w:line="360" w:lineRule="auto"/>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AE5103">
        <w:rPr>
          <w:rFonts w:ascii="Arial" w:hAnsi="Arial" w:cs="Arial"/>
          <w:b/>
          <w:color w:val="4BACC6" w:themeColor="accent5"/>
          <w:sz w:val="24"/>
          <w:szCs w:val="24"/>
        </w:rPr>
        <w:t>52</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4F5CDC" w:rsidRPr="00D7336A"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r w:rsidR="004F5CDC" w:rsidRPr="00D7336A">
        <w:rPr>
          <w:rFonts w:ascii="Arial" w:hAnsi="Arial" w:cs="Arial"/>
          <w:b/>
          <w:color w:val="4BACC6" w:themeColor="accent5"/>
          <w:sz w:val="24"/>
          <w:szCs w:val="24"/>
        </w:rPr>
        <w:t>Notifíquese por lista y personalmente a las partes.</w:t>
      </w:r>
    </w:p>
    <w:p w:rsidR="004F5CDC" w:rsidRPr="00D7336A" w:rsidRDefault="004C415C" w:rsidP="004C415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4F5CDC" w:rsidRPr="00D7336A" w:rsidRDefault="004F5CDC" w:rsidP="004F5CDC">
      <w:pPr>
        <w:spacing w:after="0" w:line="360" w:lineRule="auto"/>
        <w:jc w:val="both"/>
        <w:rPr>
          <w:rFonts w:ascii="Arial" w:hAnsi="Arial" w:cs="Arial"/>
          <w:b/>
          <w:color w:val="4BACC6" w:themeColor="accent5"/>
          <w:sz w:val="24"/>
          <w:szCs w:val="24"/>
        </w:rPr>
      </w:pPr>
    </w:p>
    <w:p w:rsidR="004F5CDC" w:rsidRPr="00D7336A" w:rsidRDefault="004F5CDC" w:rsidP="004F5CDC">
      <w:pPr>
        <w:spacing w:after="0" w:line="360" w:lineRule="auto"/>
        <w:ind w:firstLine="709"/>
        <w:jc w:val="both"/>
        <w:rPr>
          <w:rFonts w:ascii="Arial" w:hAnsi="Arial" w:cs="Arial"/>
          <w:b/>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C257BC" w:rsidRPr="00AE5103" w:rsidRDefault="004F5CDC" w:rsidP="00AE5103">
      <w:pPr>
        <w:spacing w:after="0" w:line="240" w:lineRule="auto"/>
        <w:ind w:firstLine="709"/>
        <w:jc w:val="both"/>
        <w:rPr>
          <w:rFonts w:ascii="Arial" w:hAnsi="Arial" w:cs="Arial"/>
          <w:b/>
          <w:color w:val="4BACC6" w:themeColor="accent5"/>
          <w:sz w:val="24"/>
          <w:szCs w:val="24"/>
          <w:lang w:val="es-ES"/>
        </w:rPr>
      </w:pPr>
      <w:r w:rsidRPr="00D7336A">
        <w:rPr>
          <w:rFonts w:ascii="Arial" w:hAnsi="Arial" w:cs="Arial"/>
          <w:b/>
          <w:color w:val="4BACC6" w:themeColor="accent5"/>
          <w:sz w:val="24"/>
          <w:szCs w:val="24"/>
        </w:rPr>
        <w:t xml:space="preserve">           Comisionado Presidente                      Secretaria de Plen</w:t>
      </w:r>
      <w:r w:rsidR="00AE5103">
        <w:rPr>
          <w:rFonts w:ascii="Arial" w:hAnsi="Arial" w:cs="Arial"/>
          <w:b/>
          <w:color w:val="4BACC6" w:themeColor="accent5"/>
          <w:sz w:val="24"/>
          <w:szCs w:val="24"/>
        </w:rPr>
        <w:t>o</w:t>
      </w:r>
    </w:p>
    <w:sectPr w:rsidR="00C257BC" w:rsidRPr="00AE5103" w:rsidSect="00FF56CF">
      <w:headerReference w:type="default" r:id="rId10"/>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25ED" w:rsidRDefault="009725ED" w:rsidP="00A04BCB">
      <w:pPr>
        <w:spacing w:after="0" w:line="240" w:lineRule="auto"/>
      </w:pPr>
      <w:r>
        <w:separator/>
      </w:r>
    </w:p>
  </w:endnote>
  <w:endnote w:type="continuationSeparator" w:id="0">
    <w:p w:rsidR="009725ED" w:rsidRDefault="009725ED"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25ED" w:rsidRDefault="009725ED" w:rsidP="00A04BCB">
      <w:pPr>
        <w:spacing w:after="0" w:line="240" w:lineRule="auto"/>
      </w:pPr>
      <w:r>
        <w:separator/>
      </w:r>
    </w:p>
  </w:footnote>
  <w:footnote w:type="continuationSeparator" w:id="0">
    <w:p w:rsidR="009725ED" w:rsidRDefault="009725ED"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2A288D" w:rsidP="005D7E54">
    <w:pPr>
      <w:pStyle w:val="Encabezado"/>
      <w:jc w:val="right"/>
    </w:pPr>
    <w:r>
      <w:rPr>
        <w:rFonts w:ascii="Arial" w:hAnsi="Arial" w:cs="Arial"/>
        <w:b/>
      </w:rPr>
      <w:t>RECURSO DE REVISIÓ</w:t>
    </w:r>
    <w:r w:rsidR="006B6741">
      <w:rPr>
        <w:rFonts w:ascii="Arial" w:hAnsi="Arial" w:cs="Arial"/>
        <w:b/>
      </w:rPr>
      <w:t xml:space="preserve">N </w:t>
    </w:r>
    <w:r w:rsidR="00624ED9">
      <w:rPr>
        <w:rFonts w:ascii="Arial" w:hAnsi="Arial" w:cs="Arial"/>
        <w:b/>
      </w:rPr>
      <w:t>RR-</w:t>
    </w:r>
    <w:r w:rsidR="00002BD3">
      <w:rPr>
        <w:rFonts w:ascii="Arial" w:hAnsi="Arial" w:cs="Arial"/>
        <w:b/>
      </w:rPr>
      <w:t>52</w:t>
    </w:r>
    <w:r w:rsidR="002414D8">
      <w:rPr>
        <w:rFonts w:ascii="Arial" w:hAnsi="Arial" w:cs="Arial"/>
        <w:b/>
      </w:rPr>
      <w:t>/2017</w:t>
    </w:r>
    <w:r w:rsidR="002526F3">
      <w:rPr>
        <w:rFonts w:ascii="Arial" w:hAnsi="Arial" w:cs="Arial"/>
        <w:b/>
      </w:rPr>
      <w:t>-</w:t>
    </w:r>
    <w:r w:rsidR="001F7935">
      <w:rPr>
        <w:rFonts w:ascii="Arial" w:hAnsi="Arial" w:cs="Arial"/>
        <w:b/>
      </w:rPr>
      <w:t>1</w:t>
    </w:r>
    <w:r w:rsidR="00E15E88">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7"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8"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1"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1"/>
  </w:num>
  <w:num w:numId="5">
    <w:abstractNumId w:val="8"/>
  </w:num>
  <w:num w:numId="6">
    <w:abstractNumId w:val="7"/>
  </w:num>
  <w:num w:numId="7">
    <w:abstractNumId w:val="1"/>
  </w:num>
  <w:num w:numId="8">
    <w:abstractNumId w:val="10"/>
  </w:num>
  <w:num w:numId="9">
    <w:abstractNumId w:val="4"/>
  </w:num>
  <w:num w:numId="10">
    <w:abstractNumId w:val="0"/>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BCB"/>
    <w:rsid w:val="00001AD9"/>
    <w:rsid w:val="00002BD3"/>
    <w:rsid w:val="00022AD6"/>
    <w:rsid w:val="0003028A"/>
    <w:rsid w:val="00080247"/>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84E79"/>
    <w:rsid w:val="001A14C5"/>
    <w:rsid w:val="001A3205"/>
    <w:rsid w:val="001B2AEF"/>
    <w:rsid w:val="001C0739"/>
    <w:rsid w:val="001C5951"/>
    <w:rsid w:val="001D0198"/>
    <w:rsid w:val="001D03CA"/>
    <w:rsid w:val="001D16C6"/>
    <w:rsid w:val="001E317B"/>
    <w:rsid w:val="001E6128"/>
    <w:rsid w:val="001F0337"/>
    <w:rsid w:val="001F1B92"/>
    <w:rsid w:val="001F7935"/>
    <w:rsid w:val="00214DBA"/>
    <w:rsid w:val="00226860"/>
    <w:rsid w:val="00232F24"/>
    <w:rsid w:val="002414D8"/>
    <w:rsid w:val="0024310C"/>
    <w:rsid w:val="002475F6"/>
    <w:rsid w:val="00252551"/>
    <w:rsid w:val="002526F3"/>
    <w:rsid w:val="00260481"/>
    <w:rsid w:val="00264CBC"/>
    <w:rsid w:val="00266ADC"/>
    <w:rsid w:val="002778EA"/>
    <w:rsid w:val="002A288D"/>
    <w:rsid w:val="002A6A30"/>
    <w:rsid w:val="002B40C2"/>
    <w:rsid w:val="002C38D0"/>
    <w:rsid w:val="002D0070"/>
    <w:rsid w:val="002D371A"/>
    <w:rsid w:val="002E4736"/>
    <w:rsid w:val="002F30EF"/>
    <w:rsid w:val="003032F5"/>
    <w:rsid w:val="00331B9E"/>
    <w:rsid w:val="003332F1"/>
    <w:rsid w:val="00352A7B"/>
    <w:rsid w:val="00360ABE"/>
    <w:rsid w:val="0037061E"/>
    <w:rsid w:val="00372881"/>
    <w:rsid w:val="0038176B"/>
    <w:rsid w:val="00381A32"/>
    <w:rsid w:val="00383735"/>
    <w:rsid w:val="0038592D"/>
    <w:rsid w:val="003A0A70"/>
    <w:rsid w:val="003B2F60"/>
    <w:rsid w:val="003E3238"/>
    <w:rsid w:val="00402BE9"/>
    <w:rsid w:val="00404705"/>
    <w:rsid w:val="0041021C"/>
    <w:rsid w:val="00426890"/>
    <w:rsid w:val="004302FC"/>
    <w:rsid w:val="0044226A"/>
    <w:rsid w:val="004528ED"/>
    <w:rsid w:val="00453A8D"/>
    <w:rsid w:val="004659BD"/>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15C6F"/>
    <w:rsid w:val="0054206B"/>
    <w:rsid w:val="00552902"/>
    <w:rsid w:val="0055402B"/>
    <w:rsid w:val="00555BEA"/>
    <w:rsid w:val="00557692"/>
    <w:rsid w:val="00570D95"/>
    <w:rsid w:val="00580B07"/>
    <w:rsid w:val="005A2395"/>
    <w:rsid w:val="005D2986"/>
    <w:rsid w:val="005D7E54"/>
    <w:rsid w:val="005E15B2"/>
    <w:rsid w:val="00605A77"/>
    <w:rsid w:val="00606D6E"/>
    <w:rsid w:val="00615017"/>
    <w:rsid w:val="00624699"/>
    <w:rsid w:val="00624ED9"/>
    <w:rsid w:val="00625D1B"/>
    <w:rsid w:val="00661411"/>
    <w:rsid w:val="006653FC"/>
    <w:rsid w:val="00695310"/>
    <w:rsid w:val="006A4610"/>
    <w:rsid w:val="006B6741"/>
    <w:rsid w:val="006C78BB"/>
    <w:rsid w:val="006D050F"/>
    <w:rsid w:val="006D3BF1"/>
    <w:rsid w:val="006D4FCA"/>
    <w:rsid w:val="006E2236"/>
    <w:rsid w:val="006E478E"/>
    <w:rsid w:val="006F5A3A"/>
    <w:rsid w:val="00702152"/>
    <w:rsid w:val="007121D0"/>
    <w:rsid w:val="00721663"/>
    <w:rsid w:val="00744113"/>
    <w:rsid w:val="007558D7"/>
    <w:rsid w:val="00763E45"/>
    <w:rsid w:val="00772104"/>
    <w:rsid w:val="00774BC8"/>
    <w:rsid w:val="00780A83"/>
    <w:rsid w:val="007A68AD"/>
    <w:rsid w:val="007A777C"/>
    <w:rsid w:val="007B1813"/>
    <w:rsid w:val="007B30A9"/>
    <w:rsid w:val="007B520C"/>
    <w:rsid w:val="007C70EC"/>
    <w:rsid w:val="007E7A46"/>
    <w:rsid w:val="008024C9"/>
    <w:rsid w:val="0082057A"/>
    <w:rsid w:val="008334F5"/>
    <w:rsid w:val="00852028"/>
    <w:rsid w:val="0085470E"/>
    <w:rsid w:val="00874C83"/>
    <w:rsid w:val="0088125B"/>
    <w:rsid w:val="00897B0C"/>
    <w:rsid w:val="008A6B41"/>
    <w:rsid w:val="008B15BA"/>
    <w:rsid w:val="008D0A3C"/>
    <w:rsid w:val="008F388A"/>
    <w:rsid w:val="008F6149"/>
    <w:rsid w:val="009039C8"/>
    <w:rsid w:val="00906B75"/>
    <w:rsid w:val="009124C4"/>
    <w:rsid w:val="0092572B"/>
    <w:rsid w:val="0094536F"/>
    <w:rsid w:val="009725ED"/>
    <w:rsid w:val="0098511D"/>
    <w:rsid w:val="009B23C6"/>
    <w:rsid w:val="009C4466"/>
    <w:rsid w:val="009D0019"/>
    <w:rsid w:val="009D3602"/>
    <w:rsid w:val="009E456E"/>
    <w:rsid w:val="009F00AF"/>
    <w:rsid w:val="00A04BCB"/>
    <w:rsid w:val="00A050F1"/>
    <w:rsid w:val="00A06A4A"/>
    <w:rsid w:val="00A24594"/>
    <w:rsid w:val="00A61517"/>
    <w:rsid w:val="00A62F8D"/>
    <w:rsid w:val="00A630A6"/>
    <w:rsid w:val="00A7066C"/>
    <w:rsid w:val="00A75DA0"/>
    <w:rsid w:val="00A8436E"/>
    <w:rsid w:val="00A93120"/>
    <w:rsid w:val="00A94565"/>
    <w:rsid w:val="00AA5027"/>
    <w:rsid w:val="00AC1F24"/>
    <w:rsid w:val="00AC335A"/>
    <w:rsid w:val="00AD691E"/>
    <w:rsid w:val="00AE5103"/>
    <w:rsid w:val="00AE702D"/>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55C4"/>
    <w:rsid w:val="00BB031B"/>
    <w:rsid w:val="00C0019F"/>
    <w:rsid w:val="00C003C0"/>
    <w:rsid w:val="00C23535"/>
    <w:rsid w:val="00C257BC"/>
    <w:rsid w:val="00C37176"/>
    <w:rsid w:val="00C42933"/>
    <w:rsid w:val="00C66E3D"/>
    <w:rsid w:val="00C70A3F"/>
    <w:rsid w:val="00C73D19"/>
    <w:rsid w:val="00C7664A"/>
    <w:rsid w:val="00C96DC3"/>
    <w:rsid w:val="00CC57CD"/>
    <w:rsid w:val="00CE6391"/>
    <w:rsid w:val="00D05A2B"/>
    <w:rsid w:val="00D11CA5"/>
    <w:rsid w:val="00D13645"/>
    <w:rsid w:val="00D21862"/>
    <w:rsid w:val="00D550D5"/>
    <w:rsid w:val="00D7336A"/>
    <w:rsid w:val="00DB05F1"/>
    <w:rsid w:val="00DB5F2A"/>
    <w:rsid w:val="00DB65D6"/>
    <w:rsid w:val="00DC105A"/>
    <w:rsid w:val="00DC55EF"/>
    <w:rsid w:val="00DD1315"/>
    <w:rsid w:val="00DE25E6"/>
    <w:rsid w:val="00DE6AB5"/>
    <w:rsid w:val="00DF5E66"/>
    <w:rsid w:val="00DF74E7"/>
    <w:rsid w:val="00E0126B"/>
    <w:rsid w:val="00E15E88"/>
    <w:rsid w:val="00E43715"/>
    <w:rsid w:val="00E4433C"/>
    <w:rsid w:val="00E4590E"/>
    <w:rsid w:val="00E51C51"/>
    <w:rsid w:val="00E66DB6"/>
    <w:rsid w:val="00E828C8"/>
    <w:rsid w:val="00E94C22"/>
    <w:rsid w:val="00E95910"/>
    <w:rsid w:val="00EA3D66"/>
    <w:rsid w:val="00EB06E0"/>
    <w:rsid w:val="00EC4BDD"/>
    <w:rsid w:val="00ED7190"/>
    <w:rsid w:val="00EE1009"/>
    <w:rsid w:val="00F14988"/>
    <w:rsid w:val="00F2256E"/>
    <w:rsid w:val="00F30115"/>
    <w:rsid w:val="00F31196"/>
    <w:rsid w:val="00F3148D"/>
    <w:rsid w:val="00F35188"/>
    <w:rsid w:val="00F573CF"/>
    <w:rsid w:val="00F64485"/>
    <w:rsid w:val="00F74948"/>
    <w:rsid w:val="00F85FDA"/>
    <w:rsid w:val="00F96385"/>
    <w:rsid w:val="00F96D81"/>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styleId="Mencionar">
    <w:name w:val="Mention"/>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6C538-A8D2-4D30-8C7F-AD8409EB2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5196</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cegaip@outlook.com</cp:lastModifiedBy>
  <cp:revision>2</cp:revision>
  <cp:lastPrinted>2018-01-10T15:36:00Z</cp:lastPrinted>
  <dcterms:created xsi:type="dcterms:W3CDTF">2018-02-09T18:23:00Z</dcterms:created>
  <dcterms:modified xsi:type="dcterms:W3CDTF">2018-02-09T18:23:00Z</dcterms:modified>
</cp:coreProperties>
</file>